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AF" w:rsidRDefault="002A06A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A06AF" w:rsidRDefault="002A06AF">
      <w:pPr>
        <w:pStyle w:val="ConsPlusNormal"/>
        <w:jc w:val="both"/>
        <w:outlineLvl w:val="0"/>
      </w:pPr>
    </w:p>
    <w:p w:rsidR="002A06AF" w:rsidRDefault="002A06AF">
      <w:pPr>
        <w:pStyle w:val="ConsPlusTitle"/>
        <w:jc w:val="center"/>
        <w:outlineLvl w:val="0"/>
      </w:pPr>
      <w:r>
        <w:t>УПРАВЛЕНИЕ ПОТРЕБИТЕЛЬСКОГО РЫНКА И ЦЕНОВОЙ ПОЛИТИКИ</w:t>
      </w:r>
    </w:p>
    <w:p w:rsidR="002A06AF" w:rsidRDefault="002A06AF">
      <w:pPr>
        <w:pStyle w:val="ConsPlusTitle"/>
        <w:jc w:val="center"/>
      </w:pPr>
      <w:r>
        <w:t>ЛИПЕЦКОЙ ОБЛАСТИ</w:t>
      </w:r>
    </w:p>
    <w:p w:rsidR="002A06AF" w:rsidRDefault="002A06AF">
      <w:pPr>
        <w:pStyle w:val="ConsPlusTitle"/>
        <w:jc w:val="center"/>
      </w:pPr>
    </w:p>
    <w:p w:rsidR="002A06AF" w:rsidRDefault="002A06AF">
      <w:pPr>
        <w:pStyle w:val="ConsPlusTitle"/>
        <w:jc w:val="center"/>
      </w:pPr>
      <w:r>
        <w:t>ПРИКАЗ</w:t>
      </w:r>
    </w:p>
    <w:p w:rsidR="002A06AF" w:rsidRDefault="002A06AF">
      <w:pPr>
        <w:pStyle w:val="ConsPlusTitle"/>
        <w:jc w:val="center"/>
      </w:pPr>
      <w:r>
        <w:t>от 12 октября 2011 г. N 241</w:t>
      </w:r>
    </w:p>
    <w:p w:rsidR="002A06AF" w:rsidRDefault="002A06AF">
      <w:pPr>
        <w:pStyle w:val="ConsPlusTitle"/>
        <w:jc w:val="center"/>
      </w:pPr>
    </w:p>
    <w:p w:rsidR="002A06AF" w:rsidRDefault="002A06AF">
      <w:pPr>
        <w:pStyle w:val="ConsPlusTitle"/>
        <w:jc w:val="center"/>
      </w:pPr>
      <w:r>
        <w:t>ОБ УТВЕРЖДЕНИИ ПОРЯДКА РАЗРАБОТКИ И УТВЕРЖДЕНИЯ</w:t>
      </w:r>
    </w:p>
    <w:p w:rsidR="002A06AF" w:rsidRDefault="002A06AF">
      <w:pPr>
        <w:pStyle w:val="ConsPlusTitle"/>
        <w:jc w:val="center"/>
      </w:pPr>
      <w:r>
        <w:t>ОРГАНАМИ МЕСТНОГО САМОУПРАВЛЕНИЯ СХЕМЫ РАЗМЕЩЕНИЯ</w:t>
      </w:r>
    </w:p>
    <w:p w:rsidR="002A06AF" w:rsidRDefault="002A06AF">
      <w:pPr>
        <w:pStyle w:val="ConsPlusTitle"/>
        <w:jc w:val="center"/>
      </w:pPr>
      <w:r>
        <w:t>НЕСТАЦИОНАРНЫХ ТОРГОВЫХ ОБЪЕКТОВ НА ТЕРРИТОРИИ</w:t>
      </w:r>
    </w:p>
    <w:p w:rsidR="002A06AF" w:rsidRDefault="002A06AF">
      <w:pPr>
        <w:pStyle w:val="ConsPlusTitle"/>
        <w:jc w:val="center"/>
      </w:pPr>
      <w:r>
        <w:t>ЛИПЕЦКОЙ ОБЛАСТИ</w:t>
      </w:r>
    </w:p>
    <w:p w:rsidR="002A06AF" w:rsidRDefault="002A06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A06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06AF" w:rsidRDefault="002A06A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потребительского рынка</w:t>
            </w:r>
            <w:proofErr w:type="gramEnd"/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 xml:space="preserve">и ценовой политики Липецкой обл. от 14.06.2012 </w:t>
            </w:r>
            <w:hyperlink r:id="rId6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>,</w:t>
            </w:r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16.07.2013 </w:t>
            </w:r>
            <w:hyperlink r:id="rId7" w:history="1">
              <w:r>
                <w:rPr>
                  <w:color w:val="0000FF"/>
                </w:rPr>
                <w:t>N 502</w:t>
              </w:r>
            </w:hyperlink>
            <w:r>
              <w:rPr>
                <w:color w:val="392C69"/>
              </w:rPr>
              <w:t xml:space="preserve">, от 10.09.2015 </w:t>
            </w:r>
            <w:hyperlink r:id="rId8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20.07.2016 </w:t>
            </w:r>
            <w:hyperlink r:id="rId9" w:history="1">
              <w:r>
                <w:rPr>
                  <w:color w:val="0000FF"/>
                </w:rPr>
                <w:t>N 295</w:t>
              </w:r>
            </w:hyperlink>
            <w:r>
              <w:rPr>
                <w:color w:val="392C69"/>
              </w:rPr>
              <w:t>,</w:t>
            </w:r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09.01.2019 </w:t>
            </w:r>
            <w:hyperlink r:id="rId10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ind w:firstLine="540"/>
        <w:jc w:val="both"/>
      </w:pPr>
      <w:r>
        <w:t xml:space="preserve">Во исполнение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28.12.2009 N 381-ФЗ "Об основах государственного регулирования торговой деятельности в Российской Федерации" приказываю: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разработки и утверждения органами местного самоуправления схемы размещения нестационарных торговых объектов на территории Липецкой области (приложение).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потребительского рынка Липецкой области от 24.01.2011 N 5 "Об утверждении Порядка разработки и утверждения органами местного самоуправления схемы размещения нестационарных торговых объектов".</w:t>
      </w: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right"/>
      </w:pPr>
      <w:r>
        <w:t>Начальник управления</w:t>
      </w:r>
    </w:p>
    <w:p w:rsidR="002A06AF" w:rsidRDefault="002A06AF">
      <w:pPr>
        <w:pStyle w:val="ConsPlusNormal"/>
        <w:jc w:val="right"/>
      </w:pPr>
      <w:r>
        <w:t>Н.КИРЕЕВ</w:t>
      </w: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right"/>
        <w:outlineLvl w:val="0"/>
      </w:pPr>
      <w:r>
        <w:t>Приложение</w:t>
      </w:r>
    </w:p>
    <w:p w:rsidR="002A06AF" w:rsidRDefault="002A06AF">
      <w:pPr>
        <w:pStyle w:val="ConsPlusNormal"/>
        <w:jc w:val="right"/>
      </w:pPr>
      <w:r>
        <w:t>к приказу</w:t>
      </w:r>
    </w:p>
    <w:p w:rsidR="002A06AF" w:rsidRDefault="002A06AF">
      <w:pPr>
        <w:pStyle w:val="ConsPlusNormal"/>
        <w:jc w:val="right"/>
      </w:pPr>
      <w:r>
        <w:t>управления потребительского</w:t>
      </w:r>
    </w:p>
    <w:p w:rsidR="002A06AF" w:rsidRDefault="002A06AF">
      <w:pPr>
        <w:pStyle w:val="ConsPlusNormal"/>
        <w:jc w:val="right"/>
      </w:pPr>
      <w:r>
        <w:t>рынка и ценовой политики</w:t>
      </w:r>
    </w:p>
    <w:p w:rsidR="002A06AF" w:rsidRDefault="002A06AF">
      <w:pPr>
        <w:pStyle w:val="ConsPlusNormal"/>
        <w:jc w:val="right"/>
      </w:pPr>
      <w:r>
        <w:t>Липецкой области</w:t>
      </w:r>
    </w:p>
    <w:p w:rsidR="002A06AF" w:rsidRDefault="002A06AF">
      <w:pPr>
        <w:pStyle w:val="ConsPlusNormal"/>
        <w:jc w:val="right"/>
      </w:pPr>
      <w:r>
        <w:t>от 12 октября 2011 г. N 241</w:t>
      </w: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Title"/>
        <w:jc w:val="center"/>
      </w:pPr>
      <w:bookmarkStart w:id="0" w:name="P35"/>
      <w:bookmarkEnd w:id="0"/>
      <w:r>
        <w:t>ПОРЯДОК</w:t>
      </w:r>
    </w:p>
    <w:p w:rsidR="002A06AF" w:rsidRDefault="002A06AF">
      <w:pPr>
        <w:pStyle w:val="ConsPlusTitle"/>
        <w:jc w:val="center"/>
      </w:pPr>
      <w:r>
        <w:t>РАЗРАБОТКИ И УТВЕРЖДЕНИЯ ОРГАНАМИ МЕСТНОГО САМОУПРАВЛЕНИЯ</w:t>
      </w:r>
    </w:p>
    <w:p w:rsidR="002A06AF" w:rsidRDefault="002A06AF">
      <w:pPr>
        <w:pStyle w:val="ConsPlusTitle"/>
        <w:jc w:val="center"/>
      </w:pPr>
      <w:r>
        <w:t>СХЕМЫ РАЗМЕЩЕНИЯ НЕСТАЦИОНАРНЫХ ТОРГОВЫХ ОБЪЕКТОВ</w:t>
      </w:r>
    </w:p>
    <w:p w:rsidR="002A06AF" w:rsidRDefault="002A06AF">
      <w:pPr>
        <w:pStyle w:val="ConsPlusTitle"/>
        <w:jc w:val="center"/>
      </w:pPr>
      <w:r>
        <w:t>НА ТЕРРИТОРИИ ЛИПЕЦКОЙ ОБЛАСТИ</w:t>
      </w:r>
    </w:p>
    <w:p w:rsidR="002A06AF" w:rsidRDefault="002A06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A06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06AF" w:rsidRDefault="002A06A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потребительского рынка</w:t>
            </w:r>
            <w:proofErr w:type="gramEnd"/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 xml:space="preserve">и ценовой политики Липецкой обл. от 14.06.2012 </w:t>
            </w:r>
            <w:hyperlink r:id="rId13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>,</w:t>
            </w:r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16.07.2013 </w:t>
            </w:r>
            <w:hyperlink r:id="rId14" w:history="1">
              <w:r>
                <w:rPr>
                  <w:color w:val="0000FF"/>
                </w:rPr>
                <w:t>N 502</w:t>
              </w:r>
            </w:hyperlink>
            <w:r>
              <w:rPr>
                <w:color w:val="392C69"/>
              </w:rPr>
              <w:t xml:space="preserve">, от 10.09.2015 </w:t>
            </w:r>
            <w:hyperlink r:id="rId15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20.07.2016 </w:t>
            </w:r>
            <w:hyperlink r:id="rId16" w:history="1">
              <w:r>
                <w:rPr>
                  <w:color w:val="0000FF"/>
                </w:rPr>
                <w:t>N 295</w:t>
              </w:r>
            </w:hyperlink>
            <w:r>
              <w:rPr>
                <w:color w:val="392C69"/>
              </w:rPr>
              <w:t>,</w:t>
            </w:r>
          </w:p>
          <w:p w:rsidR="002A06AF" w:rsidRDefault="002A06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09.01.2019 </w:t>
            </w:r>
            <w:hyperlink r:id="rId17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ind w:firstLine="540"/>
        <w:jc w:val="both"/>
      </w:pPr>
      <w:r>
        <w:t xml:space="preserve">1. Настоящий Порядок разработан в целях реализации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28.12.2009 N 381-ФЗ "Об основах государственного регулирования торговой деятельности в Российской Федерации" и устанавливает процедуру разработки и утверждения органами местного самоуправления схемы размещения нестационарных торговых объектов на территории Липецкой области.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Схема размещения нестационарных торговых объектов (далее - схема размещения) разрабатывается органами местного самоуправления, определенными в соответствии с уставом муниципального образования, и представляет собой перечень мест размещения действующих нестационарных торговых объектов, расположенных в пределах территории соответствующего городского округа, муниципального района и поселения в составе муниципального района (далее - муниципальное образование), а также предполагаемых нестационарных торговых объектов.</w:t>
      </w:r>
      <w:proofErr w:type="gramEnd"/>
    </w:p>
    <w:p w:rsidR="002A06AF" w:rsidRDefault="002A06A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10.09.2015 N 470)</w:t>
      </w:r>
    </w:p>
    <w:p w:rsidR="002A06AF" w:rsidRDefault="002A06AF">
      <w:pPr>
        <w:pStyle w:val="ConsPlusNormal"/>
        <w:spacing w:before="220"/>
        <w:ind w:firstLine="540"/>
        <w:jc w:val="both"/>
      </w:pPr>
      <w:proofErr w:type="gramStart"/>
      <w:r>
        <w:t>Для целей настоящего Порядка под действующим нестационарным торговым объектом понимается торговый объект, расположенный на земельном участке, в здании, строении, сооружении на основании документов, подтверждающих право владения и (или) пользования данным недвижимым имуществом, либо на основании документа, подтверждающего законность осуществления торговой деятельности в определенном месте на территории соответствующего муниципального образования без предоставления земельного участка.</w:t>
      </w:r>
      <w:proofErr w:type="gramEnd"/>
    </w:p>
    <w:p w:rsidR="002A06AF" w:rsidRDefault="002A06AF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10.09.2015 N 470)</w:t>
      </w:r>
    </w:p>
    <w:p w:rsidR="002A06AF" w:rsidRDefault="002A06AF">
      <w:pPr>
        <w:pStyle w:val="ConsPlusNormal"/>
        <w:spacing w:before="220"/>
        <w:ind w:firstLine="540"/>
        <w:jc w:val="both"/>
      </w:pPr>
      <w:proofErr w:type="gramStart"/>
      <w:r>
        <w:t>Под предполагаемым нестационарным торговым объектом понимается торговый объект, планируемый к размещению на земельном участке, в здании, строении, сооружении, находящихся в государственной, муниципальной или частной собственности, с учетом необходимости обеспечения устойчивого развития территории, достижения нормативов минимальной обеспеченности населения площадью торговых объектов, формирования торговой инфраструктуры по видам и типам объектов, формам и способам торговли, а также с учетом необходимости повышения доступности товаров</w:t>
      </w:r>
      <w:proofErr w:type="gramEnd"/>
      <w:r>
        <w:t xml:space="preserve"> для населения.</w:t>
      </w:r>
    </w:p>
    <w:p w:rsidR="002A06AF" w:rsidRDefault="002A06AF">
      <w:pPr>
        <w:pStyle w:val="ConsPlusNormal"/>
        <w:jc w:val="both"/>
      </w:pPr>
      <w:r>
        <w:t xml:space="preserve">(п. 2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16.07.2013 N 502)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3. Требования настоящего Порядка не распространяются на отношения, связанные с размещением нестационарных торговых объектов: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расположенных на территории розничных рынков;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при проведении праздничных, общественно-политических, культурно-зрелищных и спортивно-массовых мероприятий, имеющих временный характер, а также при проведении выставок-ярмарок, ярмарок;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14.06.2012 N 101)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при размещении временных организаций общественного питания быстрого обслуживания, расположенных на территориях, прилегающих к предприятиям общественного питания.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14.06.2012 N 101)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4. Схема размещения включает следующие объекты: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lastRenderedPageBreak/>
        <w:t>- нестационарные торговые объекты, расположенные на земельных участках, в зданиях, строениях и сооружениях, находящихся в государственной собственности;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нестационарные торговые объекты, расположенные на земельных участках, в зданиях, строениях и сооружениях, находящихся в муниципальной собственности;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нестационарные торговые объекты, расположенные на земельных участках, государственная собственность на которые не разграничена;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нестационарные торговые объекты, расположенные на земельных участках, в зданиях, строениях и сооружениях, находящихся в частной собственности, по согласованию с собственником соответствующего имущества.</w:t>
      </w:r>
    </w:p>
    <w:p w:rsidR="002A06AF" w:rsidRDefault="002A06AF">
      <w:pPr>
        <w:pStyle w:val="ConsPlusNormal"/>
        <w:jc w:val="both"/>
      </w:pPr>
      <w:r>
        <w:t xml:space="preserve">(п. 4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16.07.2013 N 502)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5. Схема размещения разрабатывается в целях: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достижения установленных нормативов минимальной обеспеченности населения площадью торговых объектов;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размещения нестационарных торговых объектов, используемых субъектами малого и среднего предпринимательства, осуществляющими торговую деятельность;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формирования торговой инфраструктуры с учетом видов и типов торговых объектов, форм и способов торговли;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повышения доступности товаров для населения;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соблюдения прав и законных интересов юридических лиц, индивидуальных предпринимателей, осуществляющих торговую деятельность.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6. При разработке схемы размещения следует руководствоваться следующими принципами:</w:t>
      </w:r>
    </w:p>
    <w:p w:rsidR="002A06AF" w:rsidRDefault="002A06AF">
      <w:pPr>
        <w:pStyle w:val="ConsPlusNormal"/>
        <w:spacing w:before="220"/>
        <w:ind w:firstLine="540"/>
        <w:jc w:val="both"/>
      </w:pPr>
      <w:proofErr w:type="gramStart"/>
      <w:r>
        <w:t>- места размещения нестационарных торговых объектов определяются в схеме размещения с учетом существующих (в пределах элементов планировочной структуры, улиц и (или) иных заселенных территорий муниципального образования) стационарных торговых объектов таким образом, чтобы на соответствующей части территории муниципального образования обеспечивалось достижение норматива минимальной обеспеченности населения площадью торговых объектов, а также устанавливалась необходимость обеспечения населения теми или иными товарами;</w:t>
      </w:r>
      <w:proofErr w:type="gramEnd"/>
    </w:p>
    <w:p w:rsidR="002A06AF" w:rsidRDefault="002A06AF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14.06.2012 N 101)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схемой размещения должно предусматриваться размещение не менее шестидесяти процентов нестационарных торговых объектов, используемых субъектами малого и среднего предпринимательства, осуществляющими торговую деятельность, от общего количества нестационарных торговых объектов;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размещение нестационарных торговых объектов не должно ухудшать условия проживания и отдыха населения жилых массивов;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нестационарные торговые объекты должны размещаться с учетом обеспечения свободного движения пешеходов и доступа потребителей к объектам торговли, в том числе обеспечения безбарьерной среды жизнедеятельности для инвалидов и иных маломобильных групп населения, беспрепятственного подъезда спецтранспорта.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lastRenderedPageBreak/>
        <w:t xml:space="preserve">7. </w:t>
      </w:r>
      <w:proofErr w:type="gramStart"/>
      <w:r>
        <w:t xml:space="preserve">Включение в схему размещения нестационарных объектов, расположенных на земельных участках, в зданиях, строениях и сооружениях, находящихся в государственной собственности (в федеральной собственности или в собственности субъекта Российской Федерации), осуществляется в соответствии с </w:t>
      </w:r>
      <w:hyperlink r:id="rId26" w:history="1">
        <w:r>
          <w:rPr>
            <w:color w:val="0000FF"/>
          </w:rPr>
          <w:t>Правилами</w:t>
        </w:r>
      </w:hyperlink>
      <w:r>
        <w:t xml:space="preserve">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объектов, утвержденными постановлением Правительства Российской</w:t>
      </w:r>
      <w:proofErr w:type="gramEnd"/>
      <w:r>
        <w:t xml:space="preserve"> Федерации от 29.09.2010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8. Схема размещения разрабатывается в соответствии с архитектурными, градостроительными, строительными и пожарными нормами и правилами, проектами планировки и благоустройства территории муниципального образования.</w:t>
      </w:r>
    </w:p>
    <w:p w:rsidR="002A06AF" w:rsidRDefault="002A06AF">
      <w:pPr>
        <w:pStyle w:val="ConsPlusNormal"/>
        <w:spacing w:before="220"/>
        <w:ind w:firstLine="540"/>
        <w:jc w:val="both"/>
      </w:pPr>
      <w:proofErr w:type="gramStart"/>
      <w:r>
        <w:t xml:space="preserve">Размещение нестационарных торговых объектов, их техническая оснащенность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обеспечивать условия приема, хранения и реализации товаров, условия труда и правила личной гигиены работников, а также с учетом ограничений, установленных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10.07.2001 N 87-ФЗ "Об ограничении курения табака", законодательством Российской Федерации и</w:t>
      </w:r>
      <w:proofErr w:type="gramEnd"/>
      <w:r>
        <w:t xml:space="preserve"> Липецкой области, </w:t>
      </w:r>
      <w:proofErr w:type="gramStart"/>
      <w:r>
        <w:t>регулирующим</w:t>
      </w:r>
      <w:proofErr w:type="gramEnd"/>
      <w:r>
        <w:t xml:space="preserve"> оборот алкогольной продукции, розничную продажу пива и напитков, изготавливаемых на его основе.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9. Схема размещения оформляется в виде текстового документа, который содержит: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место нахождения нестационарного торгового объекта с указанием адресного ориентира;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площадь нестационарного торгового объекта;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вид (тип) нестационарного торгового объекта;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площадь земельного участка (при наличии договора аренды земельного участка), здания, строения, сооружения, где расположен или предполагается расположить нестационарный торговый объект;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форма собственности земельного участка (при наличии договора аренды земельного участка), здания, строения, сооружения, где расположен или предполагается расположить нестационарный торговый объект;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информация о правообладателе земельного участка (при наличии договора аренды земельного участка), здания, строения, сооружения, где расположен нестационарный торговый объект;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наименование хозяйствующего субъекта, осуществляющего торговую деятельность;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специализация нестационарного торгового объекта с указанием реализуемой группы товаров (выполняемых работ, оказываемых услуг), определяемых органом местного самоуправления с учетом потребности муниципального образования;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</w:t>
      </w:r>
      <w:r>
        <w:lastRenderedPageBreak/>
        <w:t>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срок, период функционирования нестационарного торгового объекта, не превышающий срок действия схемы размещения нестационарных торговых объектов;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основание предоставления права размещения нестационарного торгового объекта, обеспечивающее равные условия для всех пожелавших воспользоваться данным правом, которое осуществляется по результатам торгов;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10.09.2015 N 470)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дополнительная информация (действующий нестационарный торговый объект или предполагаемый нестационарный торговый объект, графическое отображение места размещения нестационарного торгового объекта на территории муниципального образования, при его наличии).</w:t>
      </w:r>
    </w:p>
    <w:p w:rsidR="002A06AF" w:rsidRDefault="002A06AF">
      <w:pPr>
        <w:pStyle w:val="ConsPlusNormal"/>
        <w:jc w:val="both"/>
      </w:pPr>
      <w:r>
        <w:t xml:space="preserve">(в ред. приказов управления потребительского рынка и ценовой политики Липецкой обл. от 16.07.2013 </w:t>
      </w:r>
      <w:hyperlink r:id="rId33" w:history="1">
        <w:r>
          <w:rPr>
            <w:color w:val="0000FF"/>
          </w:rPr>
          <w:t>N 502</w:t>
        </w:r>
      </w:hyperlink>
      <w:r>
        <w:t xml:space="preserve">, от 20.07.2016 </w:t>
      </w:r>
      <w:hyperlink r:id="rId34" w:history="1">
        <w:r>
          <w:rPr>
            <w:color w:val="0000FF"/>
          </w:rPr>
          <w:t>N 295</w:t>
        </w:r>
      </w:hyperlink>
      <w:r>
        <w:t>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10. Схема размещения утверждается сроком на 7 лет.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Проект схемы размещения, а также проект изменений и дополнений, вносимых в схему размещения (далее - проект схемы), подлежит согласованию с управлением потребительского рынка и ценовой политики Липецкой области (далее - управление).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09.01.2019 N 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Управление рассматривает представленный проект схемы в течение 15 рабочих дней со дня его поступления и по итогам рассмотрения направляет в орган местного самоуправления свои предложения, замечания или принимает решение о согласовании проекта схемы.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09.01.2019 N 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Поступившие замечания, предложения рассматриваются органом местного самоуправления в течение 10 рабочих дней со дня их поступления.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09.01.2019 N 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Проект схемы, измененный с учетом поступивших замечаний, предложений, подлежит повторному согласованию с управлением в течение 10 рабочих дней со дня поступления.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09.01.2019 N 1)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11. В схему размещения могут вноситься изменения в порядке, установленном для ее разработки и утверждения.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Внесение изменений в схему размещения осуществляется по мере необходимости.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12. Изменения и дополнения в схему размещения вносятся при возникновении следующих оснований: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новая застройка районов, микрорайонов, иных территорий населенных пунктов муниципальных образований;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lastRenderedPageBreak/>
        <w:t>- строительство, ремонт и реконструкция автомобильных дорог и (или) элементов обустройства автомобильных дорог;</w:t>
      </w:r>
    </w:p>
    <w:p w:rsidR="002A06AF" w:rsidRDefault="002A06AF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прекращение, перепрофилирование деятельности стационарных торговых объектов, повлекшие снижение обеспеченности до уровня ниже установленного норматива минимальной обеспеченности населения площадью торговых объектов;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поступление мотивированных предложений от исполнительных органов государственной власти Липецкой области и органов местного самоуправления, а также от некоммерческих организаций, выражающих интересы субъектов малого и среднего предпринимательства;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необходимость реализации долгосрочных целевых программ, приоритетных направлений деятельности муниципальных образований Липецкой области в сфере социально-экономического развития;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изъятие земельных участков для государственных или муниципальных нужд;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принятие решений о развитии застроенных территорий;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- принятие органом местного самоуправления решения об исключении места размещения нестационарного торгового объекта из схемы размещения, в связи с непоступлением от претендентов заявок на участие в торгах, информация о проведении которых публиковалась в установленном порядке не менее двух раз.</w:t>
      </w:r>
    </w:p>
    <w:p w:rsidR="002A06AF" w:rsidRDefault="002A06AF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управления потребительского рынка и ценовой политики Липецкой обл. от 20.07.2016 N 295)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13. Схема размещения и вносимые в нее изменения утверждаются нормативным правовым актом органа местного самоуправления в соответствии с уставом муниципального образования.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 xml:space="preserve">14. Утверждение схемы размещения, </w:t>
      </w:r>
      <w:proofErr w:type="gramStart"/>
      <w:r>
        <w:t>а</w:t>
      </w:r>
      <w:proofErr w:type="gramEnd"/>
      <w:r>
        <w:t xml:space="preserve"> равно как и внесение в нее изменений не может служить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указанной схемы.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Такие нестационарные торговые объекты включаются в новую схему размещения как действующие, если они размещены в соответствии с действующим законодательством Российской Федерации и Липецкой области, муниципальными нормативными правовыми актами.</w:t>
      </w:r>
    </w:p>
    <w:p w:rsidR="002A06AF" w:rsidRDefault="002A06AF">
      <w:pPr>
        <w:pStyle w:val="ConsPlusNormal"/>
        <w:spacing w:before="220"/>
        <w:ind w:firstLine="540"/>
        <w:jc w:val="both"/>
      </w:pPr>
      <w:r>
        <w:t>15. Утвержденная органом местного самоуправления схема размещения и вносимые в нее изменения подлежат опубликованию в установленном порядке, а также размещению на официальном сайте администрации Липецкой области и официальном сайте органа местного самоуправления в информационно-телекоммуникационной сети Интернет.</w:t>
      </w: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jc w:val="both"/>
      </w:pPr>
    </w:p>
    <w:p w:rsidR="002A06AF" w:rsidRDefault="002A06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7EC5" w:rsidRDefault="00A47EC5">
      <w:bookmarkStart w:id="1" w:name="_GoBack"/>
      <w:bookmarkEnd w:id="1"/>
    </w:p>
    <w:sectPr w:rsidR="00A47EC5" w:rsidSect="00717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AF"/>
    <w:rsid w:val="002A06AF"/>
    <w:rsid w:val="00A4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6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06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06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6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06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06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AC358FA0B3B256C48F6F81D53A542BF7CD86C40A3D6A2DC6350A027FA6FBBD681D50F63A6799212770B51DD519CF0058A59851C691B61CFF749D2540G" TargetMode="External"/><Relationship Id="rId13" Type="http://schemas.openxmlformats.org/officeDocument/2006/relationships/hyperlink" Target="consultantplus://offline/ref=01AC358FA0B3B256C48F6F81D53A542BF7CD86C4093E6129CC350A027FA6FBBD681D50F63A6799212770B51ED519CF0058A59851C691B61CFF749D2540G" TargetMode="External"/><Relationship Id="rId18" Type="http://schemas.openxmlformats.org/officeDocument/2006/relationships/hyperlink" Target="consultantplus://offline/ref=01AC358FA0B3B256C48F718CC3560824F4C6D9CE053F637B926A515F28AFF1EA2F5209B47E6A9920207BE1499A1893450BB69954C693B5002F4DG" TargetMode="External"/><Relationship Id="rId26" Type="http://schemas.openxmlformats.org/officeDocument/2006/relationships/hyperlink" Target="consultantplus://offline/ref=01AC358FA0B3B256C48F718CC3560824F6C6DDCA053B637B926A515F28AFF1EA2F5209B47E6A98212F7BE1499A1893450BB69954C693B5002F4DG" TargetMode="External"/><Relationship Id="rId39" Type="http://schemas.openxmlformats.org/officeDocument/2006/relationships/hyperlink" Target="consultantplus://offline/ref=01AC358FA0B3B256C48F6F81D53A542BF7CD86C4043F6B2EC7350A027FA6FBBD681D50F63A6799212770B418D519CF0058A59851C691B61CFF749D254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AC358FA0B3B256C48F6F81D53A542BF7CD86C4083E6F28C9350A027FA6FBBD681D50F63A6799212770B51ED519CF0058A59851C691B61CFF749D2540G" TargetMode="External"/><Relationship Id="rId34" Type="http://schemas.openxmlformats.org/officeDocument/2006/relationships/hyperlink" Target="consultantplus://offline/ref=01AC358FA0B3B256C48F6F81D53A542BF7CD86C40A306A2AC6350A027FA6FBBD681D50F63A6799212770B41AD519CF0058A59851C691B61CFF749D2540G" TargetMode="External"/><Relationship Id="rId42" Type="http://schemas.openxmlformats.org/officeDocument/2006/relationships/hyperlink" Target="consultantplus://offline/ref=01AC358FA0B3B256C48F6F81D53A542BF7CD86C40A306A2AC6350A027FA6FBBD681D50F63A6799212770B410D519CF0058A59851C691B61CFF749D2540G" TargetMode="External"/><Relationship Id="rId7" Type="http://schemas.openxmlformats.org/officeDocument/2006/relationships/hyperlink" Target="consultantplus://offline/ref=01AC358FA0B3B256C48F6F81D53A542BF7CD86C4083E6F28C9350A027FA6FBBD681D50F63A6799212770B51DD519CF0058A59851C691B61CFF749D2540G" TargetMode="External"/><Relationship Id="rId12" Type="http://schemas.openxmlformats.org/officeDocument/2006/relationships/hyperlink" Target="consultantplus://offline/ref=01AC358FA0B3B256C48F6F81D53A542BF7CD86C40E3F6B2FC6350A027FA6FBBD681D50E43A3F9520216EB51BC04F9E46204DG" TargetMode="External"/><Relationship Id="rId17" Type="http://schemas.openxmlformats.org/officeDocument/2006/relationships/hyperlink" Target="consultantplus://offline/ref=01AC358FA0B3B256C48F6F81D53A542BF7CD86C4043F6B2EC7350A027FA6FBBD681D50F63A6799212770B51ED519CF0058A59851C691B61CFF749D2540G" TargetMode="External"/><Relationship Id="rId25" Type="http://schemas.openxmlformats.org/officeDocument/2006/relationships/hyperlink" Target="consultantplus://offline/ref=01AC358FA0B3B256C48F6F81D53A542BF7CD86C4093E6129CC350A027FA6FBBD681D50F63A6799212770B418D519CF0058A59851C691B61CFF749D2540G" TargetMode="External"/><Relationship Id="rId33" Type="http://schemas.openxmlformats.org/officeDocument/2006/relationships/hyperlink" Target="consultantplus://offline/ref=01AC358FA0B3B256C48F6F81D53A542BF7CD86C4083E6F28C9350A027FA6FBBD681D50F63A6799212770B41ED519CF0058A59851C691B61CFF749D2540G" TargetMode="External"/><Relationship Id="rId38" Type="http://schemas.openxmlformats.org/officeDocument/2006/relationships/hyperlink" Target="consultantplus://offline/ref=01AC358FA0B3B256C48F6F81D53A542BF7CD86C4043F6B2EC7350A027FA6FBBD681D50F63A6799212770B511D519CF0058A59851C691B61CFF749D254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AC358FA0B3B256C48F6F81D53A542BF7CD86C40A306A2AC6350A027FA6FBBD681D50F63A6799212770B51ED519CF0058A59851C691B61CFF749D2540G" TargetMode="External"/><Relationship Id="rId20" Type="http://schemas.openxmlformats.org/officeDocument/2006/relationships/hyperlink" Target="consultantplus://offline/ref=01AC358FA0B3B256C48F6F81D53A542BF7CD86C40A3D6A2DC6350A027FA6FBBD681D50F63A6799212770B511D519CF0058A59851C691B61CFF749D2540G" TargetMode="External"/><Relationship Id="rId29" Type="http://schemas.openxmlformats.org/officeDocument/2006/relationships/hyperlink" Target="consultantplus://offline/ref=01AC358FA0B3B256C48F6F81D53A542BF7CD86C40A306A2AC6350A027FA6FBBD681D50F63A6799212770B511D519CF0058A59851C691B61CFF749D2540G" TargetMode="External"/><Relationship Id="rId41" Type="http://schemas.openxmlformats.org/officeDocument/2006/relationships/hyperlink" Target="consultantplus://offline/ref=01AC358FA0B3B256C48F6F81D53A542BF7CD86C40A306A2AC6350A027FA6FBBD681D50F63A6799212770B41ED519CF0058A59851C691B61CFF749D254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AC358FA0B3B256C48F6F81D53A542BF7CD86C4093E6129CC350A027FA6FBBD681D50F63A6799212770B51DD519CF0058A59851C691B61CFF749D2540G" TargetMode="External"/><Relationship Id="rId11" Type="http://schemas.openxmlformats.org/officeDocument/2006/relationships/hyperlink" Target="consultantplus://offline/ref=01AC358FA0B3B256C48F718CC3560824F4C6D9CE053F637B926A515F28AFF1EA2F5209B47E6A9920207BE1499A1893450BB69954C693B5002F4DG" TargetMode="External"/><Relationship Id="rId24" Type="http://schemas.openxmlformats.org/officeDocument/2006/relationships/hyperlink" Target="consultantplus://offline/ref=01AC358FA0B3B256C48F6F81D53A542BF7CD86C4083E6F28C9350A027FA6FBBD681D50F63A6799212770B418D519CF0058A59851C691B61CFF749D2540G" TargetMode="External"/><Relationship Id="rId32" Type="http://schemas.openxmlformats.org/officeDocument/2006/relationships/hyperlink" Target="consultantplus://offline/ref=01AC358FA0B3B256C48F6F81D53A542BF7CD86C40A3D6A2DC6350A027FA6FBBD681D50F63A6799212770B419D519CF0058A59851C691B61CFF749D2540G" TargetMode="External"/><Relationship Id="rId37" Type="http://schemas.openxmlformats.org/officeDocument/2006/relationships/hyperlink" Target="consultantplus://offline/ref=01AC358FA0B3B256C48F6F81D53A542BF7CD86C4043F6B2EC7350A027FA6FBBD681D50F63A6799212770B510D519CF0058A59851C691B61CFF749D2540G" TargetMode="External"/><Relationship Id="rId40" Type="http://schemas.openxmlformats.org/officeDocument/2006/relationships/hyperlink" Target="consultantplus://offline/ref=01AC358FA0B3B256C48F6F81D53A542BF7CD86C40A306A2AC6350A027FA6FBBD681D50F63A6799212770B41CD519CF0058A59851C691B61CFF749D2540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1AC358FA0B3B256C48F6F81D53A542BF7CD86C40A3D6A2DC6350A027FA6FBBD681D50F63A6799212770B51ED519CF0058A59851C691B61CFF749D2540G" TargetMode="External"/><Relationship Id="rId23" Type="http://schemas.openxmlformats.org/officeDocument/2006/relationships/hyperlink" Target="consultantplus://offline/ref=01AC358FA0B3B256C48F6F81D53A542BF7CD86C4093E6129CC350A027FA6FBBD681D50F63A6799212770B511D519CF0058A59851C691B61CFF749D2540G" TargetMode="External"/><Relationship Id="rId28" Type="http://schemas.openxmlformats.org/officeDocument/2006/relationships/hyperlink" Target="consultantplus://offline/ref=01AC358FA0B3B256C48F6F81D53A542BF7CD86C40A306A2AC6350A027FA6FBBD681D50F63A6799212770B510D519CF0058A59851C691B61CFF749D2540G" TargetMode="External"/><Relationship Id="rId36" Type="http://schemas.openxmlformats.org/officeDocument/2006/relationships/hyperlink" Target="consultantplus://offline/ref=01AC358FA0B3B256C48F6F81D53A542BF7CD86C4043F6B2EC7350A027FA6FBBD681D50F63A6799212770B51ED519CF0058A59851C691B61CFF749D2540G" TargetMode="External"/><Relationship Id="rId10" Type="http://schemas.openxmlformats.org/officeDocument/2006/relationships/hyperlink" Target="consultantplus://offline/ref=01AC358FA0B3B256C48F6F81D53A542BF7CD86C4043F6B2EC7350A027FA6FBBD681D50F63A6799212770B51DD519CF0058A59851C691B61CFF749D2540G" TargetMode="External"/><Relationship Id="rId19" Type="http://schemas.openxmlformats.org/officeDocument/2006/relationships/hyperlink" Target="consultantplus://offline/ref=01AC358FA0B3B256C48F6F81D53A542BF7CD86C40A3D6A2DC6350A027FA6FBBD681D50F63A6799212770B510D519CF0058A59851C691B61CFF749D2540G" TargetMode="External"/><Relationship Id="rId31" Type="http://schemas.openxmlformats.org/officeDocument/2006/relationships/hyperlink" Target="consultantplus://offline/ref=01AC358FA0B3B256C48F6F81D53A542BF7CD86C40A306A2AC6350A027FA6FBBD681D50F63A6799212770B419D519CF0058A59851C691B61CFF749D2540G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AC358FA0B3B256C48F6F81D53A542BF7CD86C40A306A2AC6350A027FA6FBBD681D50F63A6799212770B51DD519CF0058A59851C691B61CFF749D2540G" TargetMode="External"/><Relationship Id="rId14" Type="http://schemas.openxmlformats.org/officeDocument/2006/relationships/hyperlink" Target="consultantplus://offline/ref=01AC358FA0B3B256C48F6F81D53A542BF7CD86C4083E6F28C9350A027FA6FBBD681D50F63A6799212770B51ED519CF0058A59851C691B61CFF749D2540G" TargetMode="External"/><Relationship Id="rId22" Type="http://schemas.openxmlformats.org/officeDocument/2006/relationships/hyperlink" Target="consultantplus://offline/ref=01AC358FA0B3B256C48F6F81D53A542BF7CD86C4093E6129CC350A027FA6FBBD681D50F63A6799212770B510D519CF0058A59851C691B61CFF749D2540G" TargetMode="External"/><Relationship Id="rId27" Type="http://schemas.openxmlformats.org/officeDocument/2006/relationships/hyperlink" Target="consultantplus://offline/ref=01AC358FA0B3B256C48F718CC3560824FEC5DFC809323E719A335D5D2FA0AEEF284309B4787498223972B51A2D4EG" TargetMode="External"/><Relationship Id="rId30" Type="http://schemas.openxmlformats.org/officeDocument/2006/relationships/hyperlink" Target="consultantplus://offline/ref=01AC358FA0B3B256C48F6F81D53A542BF7CD86C40A306A2AC6350A027FA6FBBD681D50F63A6799212770B418D519CF0058A59851C691B61CFF749D2540G" TargetMode="External"/><Relationship Id="rId35" Type="http://schemas.openxmlformats.org/officeDocument/2006/relationships/hyperlink" Target="consultantplus://offline/ref=01AC358FA0B3B256C48F6F81D53A542BF7CD86C40A306A2AC6350A027FA6FBBD681D50F63A6799212770B41BD519CF0058A59851C691B61CFF749D2540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2020-03-16T06:56:00Z</dcterms:created>
  <dcterms:modified xsi:type="dcterms:W3CDTF">2020-03-16T06:58:00Z</dcterms:modified>
</cp:coreProperties>
</file>